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7E5" w:rsidRDefault="00ED290B" w:rsidP="00ED290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SINGAPORE MANAGEMENT UNIVERSITY </w:t>
      </w:r>
    </w:p>
    <w:p w:rsidR="00ED290B" w:rsidRDefault="00ED290B" w:rsidP="00ED290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SCHOOL OF LAW </w:t>
      </w:r>
    </w:p>
    <w:p w:rsidR="00ED290B" w:rsidRDefault="00ED290B" w:rsidP="00ED290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LAW 303 - LAW OF EQUITY &amp; TRUSTS </w:t>
      </w:r>
    </w:p>
    <w:p w:rsidR="00ED290B" w:rsidRDefault="00ED290B" w:rsidP="00ED290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READING LIST </w:t>
      </w:r>
    </w:p>
    <w:p w:rsidR="00ED290B" w:rsidRDefault="00ED290B" w:rsidP="00ED290B">
      <w:pPr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WEEK ONE – INTRODUCTION</w:t>
      </w:r>
    </w:p>
    <w:p w:rsidR="001B6E36" w:rsidRDefault="001B6E36" w:rsidP="001B6E36">
      <w:pPr>
        <w:pStyle w:val="ListParagraph"/>
        <w:numPr>
          <w:ilvl w:val="0"/>
          <w:numId w:val="2"/>
        </w:numPr>
        <w:ind w:hanging="72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Historical development of equity and the relationship between common law and equity </w:t>
      </w:r>
    </w:p>
    <w:p w:rsidR="001B6E36" w:rsidRDefault="001B6E36" w:rsidP="001B6E36">
      <w:pPr>
        <w:pStyle w:val="ListParagraph"/>
        <w:jc w:val="both"/>
        <w:rPr>
          <w:rFonts w:ascii="Arial" w:hAnsi="Arial" w:cs="Arial"/>
          <w:b/>
          <w:sz w:val="20"/>
          <w:szCs w:val="20"/>
        </w:rPr>
      </w:pPr>
    </w:p>
    <w:p w:rsidR="001B6E36" w:rsidRPr="001B6E36" w:rsidRDefault="001B6E36" w:rsidP="001B6E36">
      <w:pPr>
        <w:pStyle w:val="ListParagraph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Read one of the following:</w:t>
      </w:r>
    </w:p>
    <w:p w:rsidR="001B6E36" w:rsidRDefault="001B6E36" w:rsidP="001B6E36">
      <w:pPr>
        <w:pStyle w:val="ListParagraph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Pearce, Stevens &amp; Barr</w:t>
      </w:r>
      <w:r w:rsidR="00D109F0">
        <w:rPr>
          <w:rFonts w:ascii="Arial" w:hAnsi="Arial" w:cs="Arial"/>
          <w:sz w:val="20"/>
          <w:szCs w:val="20"/>
        </w:rPr>
        <w:t xml:space="preserve"> Ch </w:t>
      </w:r>
      <w:r w:rsidR="003446AB">
        <w:rPr>
          <w:rFonts w:ascii="Arial" w:hAnsi="Arial" w:cs="Arial"/>
          <w:sz w:val="20"/>
          <w:szCs w:val="20"/>
        </w:rPr>
        <w:t>2</w:t>
      </w:r>
    </w:p>
    <w:p w:rsidR="001B6E36" w:rsidRDefault="001B6E36" w:rsidP="001B6E36">
      <w:pPr>
        <w:pStyle w:val="ListParagraph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Pettit, Ch 1 </w:t>
      </w:r>
    </w:p>
    <w:p w:rsidR="001B6E36" w:rsidRDefault="001B6E36" w:rsidP="001B6E36">
      <w:pPr>
        <w:pStyle w:val="ListParagraph"/>
        <w:jc w:val="both"/>
        <w:rPr>
          <w:rFonts w:ascii="Arial" w:hAnsi="Arial" w:cs="Arial"/>
          <w:i/>
          <w:sz w:val="20"/>
          <w:szCs w:val="20"/>
        </w:rPr>
      </w:pPr>
    </w:p>
    <w:p w:rsidR="003446AB" w:rsidRDefault="001B6E36" w:rsidP="003446AB">
      <w:pPr>
        <w:pStyle w:val="ListParagraph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Lau </w:t>
      </w:r>
      <w:proofErr w:type="spellStart"/>
      <w:r>
        <w:rPr>
          <w:rFonts w:ascii="Arial" w:hAnsi="Arial" w:cs="Arial"/>
          <w:i/>
          <w:sz w:val="20"/>
          <w:szCs w:val="20"/>
        </w:rPr>
        <w:t>Siew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Kim v </w:t>
      </w:r>
      <w:proofErr w:type="spellStart"/>
      <w:r>
        <w:rPr>
          <w:rFonts w:ascii="Arial" w:hAnsi="Arial" w:cs="Arial"/>
          <w:i/>
          <w:sz w:val="20"/>
          <w:szCs w:val="20"/>
        </w:rPr>
        <w:t>Teo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Guan </w:t>
      </w:r>
      <w:proofErr w:type="spellStart"/>
      <w:r>
        <w:rPr>
          <w:rFonts w:ascii="Arial" w:hAnsi="Arial" w:cs="Arial"/>
          <w:i/>
          <w:sz w:val="20"/>
          <w:szCs w:val="20"/>
        </w:rPr>
        <w:t>Chye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Terence </w:t>
      </w:r>
      <w:r>
        <w:rPr>
          <w:rFonts w:ascii="Arial" w:hAnsi="Arial" w:cs="Arial"/>
          <w:sz w:val="20"/>
          <w:szCs w:val="20"/>
        </w:rPr>
        <w:t>[2008] 2 SLR 108, [24] – [33]</w:t>
      </w:r>
    </w:p>
    <w:p w:rsidR="003446AB" w:rsidRPr="003446AB" w:rsidRDefault="003446AB" w:rsidP="003446AB">
      <w:pPr>
        <w:pStyle w:val="ListParagraph"/>
        <w:jc w:val="both"/>
        <w:rPr>
          <w:rFonts w:ascii="Arial" w:hAnsi="Arial" w:cs="Arial"/>
          <w:sz w:val="20"/>
          <w:szCs w:val="20"/>
        </w:rPr>
      </w:pPr>
    </w:p>
    <w:p w:rsidR="001B6E36" w:rsidRDefault="001B6E36" w:rsidP="001B6E36">
      <w:pPr>
        <w:pStyle w:val="ListParagraph"/>
        <w:jc w:val="both"/>
        <w:rPr>
          <w:rFonts w:ascii="Arial" w:hAnsi="Arial" w:cs="Arial"/>
          <w:sz w:val="20"/>
          <w:szCs w:val="20"/>
        </w:rPr>
      </w:pPr>
    </w:p>
    <w:p w:rsidR="003446AB" w:rsidRDefault="003446AB" w:rsidP="003446AB">
      <w:pPr>
        <w:pStyle w:val="ListParagraph"/>
        <w:numPr>
          <w:ilvl w:val="0"/>
          <w:numId w:val="2"/>
        </w:numPr>
        <w:ind w:hanging="72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Jurisdiction &amp; Maxims </w:t>
      </w:r>
    </w:p>
    <w:p w:rsidR="003446AB" w:rsidRDefault="003446AB" w:rsidP="003446AB">
      <w:pPr>
        <w:pStyle w:val="ListParagraph"/>
        <w:jc w:val="both"/>
        <w:rPr>
          <w:rFonts w:ascii="Arial" w:hAnsi="Arial" w:cs="Arial"/>
          <w:b/>
          <w:sz w:val="20"/>
          <w:szCs w:val="20"/>
        </w:rPr>
      </w:pPr>
    </w:p>
    <w:p w:rsidR="003446AB" w:rsidRDefault="00D109F0" w:rsidP="003446AB">
      <w:pPr>
        <w:pStyle w:val="ListParagraph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Pearce, Stevens &amp; Barr pp 28 – 34 or Pettit, pp 25 - 28</w:t>
      </w:r>
    </w:p>
    <w:p w:rsidR="007E12CA" w:rsidRDefault="007E12CA" w:rsidP="003446AB">
      <w:pPr>
        <w:pStyle w:val="ListParagraph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Civil Law Act, Cap 43, sections 3 and 4 </w:t>
      </w:r>
    </w:p>
    <w:p w:rsidR="003446AB" w:rsidRDefault="003446AB" w:rsidP="003446AB">
      <w:pPr>
        <w:pStyle w:val="ListParagraph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Supreme Court of Judicature Act (Cap. 322), section 18 </w:t>
      </w:r>
    </w:p>
    <w:p w:rsidR="003446AB" w:rsidRPr="003446AB" w:rsidRDefault="003446AB" w:rsidP="003446AB">
      <w:pPr>
        <w:pStyle w:val="ListParagraph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Subordinate Courts Act (Cap. 321), sections 31 &amp; 52 </w:t>
      </w:r>
    </w:p>
    <w:p w:rsidR="003446AB" w:rsidRDefault="003446AB" w:rsidP="003446AB">
      <w:pPr>
        <w:pStyle w:val="ListParagraph"/>
        <w:jc w:val="both"/>
        <w:rPr>
          <w:rFonts w:ascii="Arial" w:hAnsi="Arial" w:cs="Arial"/>
          <w:b/>
          <w:sz w:val="20"/>
          <w:szCs w:val="20"/>
        </w:rPr>
      </w:pPr>
    </w:p>
    <w:p w:rsidR="001B6E36" w:rsidRDefault="003446AB" w:rsidP="003446AB">
      <w:pPr>
        <w:pStyle w:val="ListParagraph"/>
        <w:numPr>
          <w:ilvl w:val="0"/>
          <w:numId w:val="2"/>
        </w:numPr>
        <w:ind w:hanging="72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Continuing importance of equity </w:t>
      </w:r>
    </w:p>
    <w:p w:rsidR="003446AB" w:rsidRDefault="003446AB" w:rsidP="003446AB">
      <w:pPr>
        <w:pStyle w:val="ListParagraph"/>
        <w:jc w:val="both"/>
        <w:rPr>
          <w:rFonts w:ascii="Arial" w:hAnsi="Arial" w:cs="Arial"/>
          <w:b/>
          <w:sz w:val="20"/>
          <w:szCs w:val="20"/>
        </w:rPr>
      </w:pPr>
    </w:p>
    <w:p w:rsidR="003446AB" w:rsidRDefault="003446AB" w:rsidP="003446AB">
      <w:pPr>
        <w:pStyle w:val="ListParagraph"/>
        <w:numPr>
          <w:ilvl w:val="0"/>
          <w:numId w:val="3"/>
        </w:numPr>
        <w:ind w:left="1440" w:hanging="72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Creativity of equity </w:t>
      </w:r>
    </w:p>
    <w:p w:rsidR="00144650" w:rsidRDefault="00144650" w:rsidP="00144650">
      <w:pPr>
        <w:pStyle w:val="ListParagraph"/>
        <w:ind w:left="1440"/>
        <w:jc w:val="both"/>
        <w:rPr>
          <w:rFonts w:ascii="Arial" w:hAnsi="Arial" w:cs="Arial"/>
          <w:b/>
          <w:sz w:val="20"/>
          <w:szCs w:val="20"/>
        </w:rPr>
      </w:pPr>
    </w:p>
    <w:p w:rsidR="00144650" w:rsidRDefault="00144650" w:rsidP="00144650">
      <w:pPr>
        <w:pStyle w:val="ListParagraph"/>
        <w:ind w:left="14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Western Fish Products v </w:t>
      </w:r>
      <w:proofErr w:type="spellStart"/>
      <w:r>
        <w:rPr>
          <w:rFonts w:ascii="Arial" w:hAnsi="Arial" w:cs="Arial"/>
          <w:i/>
          <w:sz w:val="20"/>
          <w:szCs w:val="20"/>
        </w:rPr>
        <w:t>Penwith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DC </w:t>
      </w:r>
      <w:r>
        <w:rPr>
          <w:rFonts w:ascii="Arial" w:hAnsi="Arial" w:cs="Arial"/>
          <w:sz w:val="20"/>
          <w:szCs w:val="20"/>
        </w:rPr>
        <w:t>[1981] 2 All ER at 218 (</w:t>
      </w:r>
      <w:r w:rsidRPr="00144650">
        <w:rPr>
          <w:rFonts w:ascii="Arial" w:hAnsi="Arial" w:cs="Arial"/>
          <w:i/>
          <w:sz w:val="20"/>
          <w:szCs w:val="20"/>
        </w:rPr>
        <w:t>per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Megaw</w:t>
      </w:r>
      <w:proofErr w:type="spellEnd"/>
      <w:r>
        <w:rPr>
          <w:rFonts w:ascii="Arial" w:hAnsi="Arial" w:cs="Arial"/>
          <w:sz w:val="20"/>
          <w:szCs w:val="20"/>
        </w:rPr>
        <w:t xml:space="preserve"> LJ)</w:t>
      </w:r>
    </w:p>
    <w:p w:rsidR="00144650" w:rsidRDefault="00144650" w:rsidP="00144650">
      <w:pPr>
        <w:pStyle w:val="ListParagraph"/>
        <w:ind w:left="1440"/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i/>
          <w:sz w:val="20"/>
          <w:szCs w:val="20"/>
        </w:rPr>
        <w:t>Cowcher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v </w:t>
      </w:r>
      <w:proofErr w:type="spellStart"/>
      <w:r>
        <w:rPr>
          <w:rFonts w:ascii="Arial" w:hAnsi="Arial" w:cs="Arial"/>
          <w:i/>
          <w:sz w:val="20"/>
          <w:szCs w:val="20"/>
        </w:rPr>
        <w:t>Cowcher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[1972] 1 WLR 425 at 430 (</w:t>
      </w:r>
      <w:r>
        <w:rPr>
          <w:rFonts w:ascii="Arial" w:hAnsi="Arial" w:cs="Arial"/>
          <w:i/>
          <w:sz w:val="20"/>
          <w:szCs w:val="20"/>
        </w:rPr>
        <w:t xml:space="preserve">per </w:t>
      </w:r>
      <w:proofErr w:type="spellStart"/>
      <w:r>
        <w:rPr>
          <w:rFonts w:ascii="Arial" w:hAnsi="Arial" w:cs="Arial"/>
          <w:sz w:val="20"/>
          <w:szCs w:val="20"/>
        </w:rPr>
        <w:t>Bagnall</w:t>
      </w:r>
      <w:proofErr w:type="spellEnd"/>
      <w:r>
        <w:rPr>
          <w:rFonts w:ascii="Arial" w:hAnsi="Arial" w:cs="Arial"/>
          <w:sz w:val="20"/>
          <w:szCs w:val="20"/>
        </w:rPr>
        <w:t xml:space="preserve"> J.)</w:t>
      </w:r>
      <w:proofErr w:type="gramEnd"/>
    </w:p>
    <w:p w:rsidR="00144650" w:rsidRDefault="00144650" w:rsidP="00144650">
      <w:pPr>
        <w:pStyle w:val="ListParagraph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Lau </w:t>
      </w:r>
      <w:proofErr w:type="spellStart"/>
      <w:r>
        <w:rPr>
          <w:rFonts w:ascii="Arial" w:hAnsi="Arial" w:cs="Arial"/>
          <w:i/>
          <w:sz w:val="20"/>
          <w:szCs w:val="20"/>
        </w:rPr>
        <w:t>Siew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Kim v </w:t>
      </w:r>
      <w:proofErr w:type="spellStart"/>
      <w:r>
        <w:rPr>
          <w:rFonts w:ascii="Arial" w:hAnsi="Arial" w:cs="Arial"/>
          <w:i/>
          <w:sz w:val="20"/>
          <w:szCs w:val="20"/>
        </w:rPr>
        <w:t>Teo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Guan </w:t>
      </w:r>
      <w:proofErr w:type="spellStart"/>
      <w:r>
        <w:rPr>
          <w:rFonts w:ascii="Arial" w:hAnsi="Arial" w:cs="Arial"/>
          <w:i/>
          <w:sz w:val="20"/>
          <w:szCs w:val="20"/>
        </w:rPr>
        <w:t>Chye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Terence </w:t>
      </w:r>
      <w:r>
        <w:rPr>
          <w:rFonts w:ascii="Arial" w:hAnsi="Arial" w:cs="Arial"/>
          <w:sz w:val="20"/>
          <w:szCs w:val="20"/>
        </w:rPr>
        <w:t>[2008] 2 SLR 108, [24] – [33]</w:t>
      </w:r>
    </w:p>
    <w:p w:rsidR="00144650" w:rsidRDefault="00144650" w:rsidP="00144650">
      <w:pPr>
        <w:pStyle w:val="ListParagraph"/>
        <w:ind w:left="1440"/>
        <w:jc w:val="both"/>
        <w:rPr>
          <w:rFonts w:ascii="Arial" w:hAnsi="Arial" w:cs="Arial"/>
          <w:b/>
          <w:sz w:val="20"/>
          <w:szCs w:val="20"/>
        </w:rPr>
      </w:pPr>
    </w:p>
    <w:p w:rsidR="003446AB" w:rsidRDefault="003446AB" w:rsidP="003446AB">
      <w:pPr>
        <w:pStyle w:val="ListParagraph"/>
        <w:numPr>
          <w:ilvl w:val="0"/>
          <w:numId w:val="3"/>
        </w:numPr>
        <w:ind w:left="1440" w:hanging="72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Fusion of equity and law? </w:t>
      </w:r>
    </w:p>
    <w:p w:rsidR="00796E75" w:rsidRDefault="00796E75" w:rsidP="00796E75">
      <w:pPr>
        <w:pStyle w:val="ListParagraph"/>
        <w:ind w:left="1440"/>
        <w:jc w:val="both"/>
        <w:rPr>
          <w:rFonts w:ascii="Arial" w:hAnsi="Arial" w:cs="Arial"/>
          <w:b/>
          <w:sz w:val="20"/>
          <w:szCs w:val="20"/>
        </w:rPr>
      </w:pPr>
    </w:p>
    <w:p w:rsidR="00796E75" w:rsidRDefault="00796E75" w:rsidP="00796E75">
      <w:pPr>
        <w:pStyle w:val="ListParagraph"/>
        <w:ind w:left="144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i/>
          <w:sz w:val="20"/>
          <w:szCs w:val="20"/>
        </w:rPr>
        <w:t>Seager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v </w:t>
      </w:r>
      <w:proofErr w:type="spellStart"/>
      <w:r>
        <w:rPr>
          <w:rFonts w:ascii="Arial" w:hAnsi="Arial" w:cs="Arial"/>
          <w:i/>
          <w:sz w:val="20"/>
          <w:szCs w:val="20"/>
        </w:rPr>
        <w:t>Copydex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[1967] 1 WLR 923 </w:t>
      </w:r>
    </w:p>
    <w:p w:rsidR="00796E75" w:rsidRDefault="00796E75" w:rsidP="00796E75">
      <w:pPr>
        <w:pStyle w:val="ListParagraph"/>
        <w:ind w:left="14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United </w:t>
      </w:r>
      <w:proofErr w:type="spellStart"/>
      <w:r>
        <w:rPr>
          <w:rFonts w:ascii="Arial" w:hAnsi="Arial" w:cs="Arial"/>
          <w:i/>
          <w:sz w:val="20"/>
          <w:szCs w:val="20"/>
        </w:rPr>
        <w:t>Scientified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Holdings v </w:t>
      </w:r>
      <w:proofErr w:type="spellStart"/>
      <w:r>
        <w:rPr>
          <w:rFonts w:ascii="Arial" w:hAnsi="Arial" w:cs="Arial"/>
          <w:i/>
          <w:sz w:val="20"/>
          <w:szCs w:val="20"/>
        </w:rPr>
        <w:t>Burnley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Borough Council </w:t>
      </w:r>
      <w:r>
        <w:rPr>
          <w:rFonts w:ascii="Arial" w:hAnsi="Arial" w:cs="Arial"/>
          <w:sz w:val="20"/>
          <w:szCs w:val="20"/>
        </w:rPr>
        <w:t>[1978] AC 904.</w:t>
      </w:r>
    </w:p>
    <w:p w:rsidR="00796E75" w:rsidRDefault="00796E75" w:rsidP="00796E75">
      <w:pPr>
        <w:pStyle w:val="ListParagraph"/>
        <w:ind w:left="14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i/>
          <w:sz w:val="20"/>
          <w:szCs w:val="20"/>
        </w:rPr>
        <w:t xml:space="preserve">Harris v Digital Pulse Pty Ltd </w:t>
      </w:r>
      <w:r>
        <w:rPr>
          <w:rFonts w:ascii="Arial" w:hAnsi="Arial" w:cs="Arial"/>
          <w:sz w:val="20"/>
          <w:szCs w:val="20"/>
        </w:rPr>
        <w:t xml:space="preserve">[2003] NSWCA 10; 197 ALR </w:t>
      </w:r>
      <w:r w:rsidR="007D0647">
        <w:rPr>
          <w:rFonts w:ascii="Arial" w:hAnsi="Arial" w:cs="Arial"/>
          <w:sz w:val="20"/>
          <w:szCs w:val="20"/>
        </w:rPr>
        <w:t>626; see note by J Edelman, “A “fusion fallacy” fallacy?”</w:t>
      </w:r>
      <w:proofErr w:type="gramEnd"/>
      <w:r w:rsidR="007D0647">
        <w:rPr>
          <w:rFonts w:ascii="Arial" w:hAnsi="Arial" w:cs="Arial"/>
          <w:sz w:val="20"/>
          <w:szCs w:val="20"/>
        </w:rPr>
        <w:t xml:space="preserve"> (2003) 119 LQR 375</w:t>
      </w:r>
    </w:p>
    <w:p w:rsidR="00796E75" w:rsidRDefault="00796E75" w:rsidP="00796E75">
      <w:pPr>
        <w:pStyle w:val="ListParagraph"/>
        <w:ind w:left="1440"/>
        <w:jc w:val="both"/>
        <w:rPr>
          <w:rFonts w:ascii="Arial" w:hAnsi="Arial" w:cs="Arial"/>
          <w:sz w:val="20"/>
          <w:szCs w:val="20"/>
        </w:rPr>
      </w:pPr>
    </w:p>
    <w:p w:rsidR="00796E75" w:rsidRDefault="00796E75" w:rsidP="00796E75">
      <w:pPr>
        <w:pStyle w:val="ListParagraph"/>
        <w:ind w:left="14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Burrows, “We Do This at Common Law But That in Equity” (2002) 22 OJLS 1. </w:t>
      </w:r>
    </w:p>
    <w:p w:rsidR="00796E75" w:rsidRPr="00796E75" w:rsidRDefault="00796E75" w:rsidP="00796E75">
      <w:pPr>
        <w:pStyle w:val="ListParagraph"/>
        <w:ind w:left="14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 Mason, “Fusion: Fallacy, Future or Finished” </w:t>
      </w:r>
    </w:p>
    <w:p w:rsidR="00796E75" w:rsidRDefault="00783272" w:rsidP="00796E75">
      <w:pPr>
        <w:pStyle w:val="ListParagraph"/>
        <w:ind w:left="2160"/>
        <w:jc w:val="both"/>
        <w:rPr>
          <w:rFonts w:ascii="Arial" w:hAnsi="Arial" w:cs="Arial"/>
          <w:sz w:val="18"/>
          <w:szCs w:val="18"/>
        </w:rPr>
      </w:pPr>
      <w:hyperlink r:id="rId8" w:history="1">
        <w:r w:rsidR="00796E75" w:rsidRPr="00B54E0F">
          <w:rPr>
            <w:rStyle w:val="Hyperlink"/>
            <w:rFonts w:ascii="Arial" w:hAnsi="Arial" w:cs="Arial"/>
            <w:sz w:val="18"/>
            <w:szCs w:val="18"/>
          </w:rPr>
          <w:t>http://www.lawlink.nsw.gov.au/lawlink/Supreme_Court/ll_sc.nsf/vwPrint1/SCO_mason161204</w:t>
        </w:r>
      </w:hyperlink>
    </w:p>
    <w:p w:rsidR="00796E75" w:rsidRPr="00796E75" w:rsidRDefault="00796E75" w:rsidP="00796E75">
      <w:pPr>
        <w:pStyle w:val="ListParagraph"/>
        <w:ind w:left="2160"/>
        <w:jc w:val="both"/>
        <w:rPr>
          <w:rFonts w:ascii="Arial" w:hAnsi="Arial" w:cs="Arial"/>
          <w:sz w:val="18"/>
          <w:szCs w:val="18"/>
        </w:rPr>
      </w:pPr>
    </w:p>
    <w:p w:rsidR="00796E75" w:rsidRDefault="00796E75" w:rsidP="00796E75">
      <w:pPr>
        <w:pStyle w:val="ListParagraph"/>
        <w:ind w:left="14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Kirby, “Equity’s Australian Isolationism” 20 November 2008 </w:t>
      </w:r>
    </w:p>
    <w:p w:rsidR="00796E75" w:rsidRDefault="00796E75" w:rsidP="00796E75">
      <w:pPr>
        <w:pStyle w:val="ListParagraph"/>
        <w:ind w:left="1440"/>
        <w:jc w:val="both"/>
        <w:rPr>
          <w:rStyle w:val="HTMLCite"/>
          <w:rFonts w:ascii="Arial" w:hAnsi="Arial" w:cs="Arial"/>
          <w:color w:val="auto"/>
          <w:sz w:val="18"/>
          <w:szCs w:val="18"/>
        </w:rPr>
      </w:pPr>
      <w:r w:rsidRPr="001E15D6">
        <w:rPr>
          <w:rFonts w:ascii="Arial" w:hAnsi="Arial" w:cs="Arial"/>
          <w:sz w:val="18"/>
          <w:szCs w:val="18"/>
        </w:rPr>
        <w:t xml:space="preserve">           </w:t>
      </w:r>
      <w:hyperlink r:id="rId9" w:history="1">
        <w:r w:rsidRPr="00B54E0F">
          <w:rPr>
            <w:rStyle w:val="Hyperlink"/>
            <w:rFonts w:ascii="Arial" w:hAnsi="Arial" w:cs="Arial"/>
            <w:sz w:val="18"/>
            <w:szCs w:val="18"/>
          </w:rPr>
          <w:t>http://www.law.qut.edu.au/ljj/.../10_CurrentIssues_</w:t>
        </w:r>
        <w:r w:rsidRPr="00B54E0F">
          <w:rPr>
            <w:rStyle w:val="Hyperlink"/>
            <w:rFonts w:ascii="Arial" w:hAnsi="Arial" w:cs="Arial"/>
            <w:bCs/>
            <w:sz w:val="18"/>
            <w:szCs w:val="18"/>
          </w:rPr>
          <w:t>Equity</w:t>
        </w:r>
        <w:r w:rsidRPr="00B54E0F">
          <w:rPr>
            <w:rStyle w:val="Hyperlink"/>
            <w:rFonts w:ascii="Arial" w:hAnsi="Arial" w:cs="Arial"/>
            <w:sz w:val="18"/>
            <w:szCs w:val="18"/>
          </w:rPr>
          <w:t>_KIRBY.pdf</w:t>
        </w:r>
      </w:hyperlink>
    </w:p>
    <w:p w:rsidR="00796E75" w:rsidRPr="00796E75" w:rsidRDefault="00796E75" w:rsidP="00796E75">
      <w:pPr>
        <w:jc w:val="both"/>
        <w:rPr>
          <w:rFonts w:ascii="Arial" w:hAnsi="Arial" w:cs="Arial"/>
          <w:b/>
          <w:sz w:val="20"/>
          <w:szCs w:val="20"/>
        </w:rPr>
      </w:pPr>
    </w:p>
    <w:p w:rsidR="003446AB" w:rsidRDefault="003446AB" w:rsidP="003446AB">
      <w:pPr>
        <w:pStyle w:val="ListParagraph"/>
        <w:numPr>
          <w:ilvl w:val="0"/>
          <w:numId w:val="3"/>
        </w:numPr>
        <w:ind w:left="1440" w:hanging="72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Outline of equitable remedies </w:t>
      </w:r>
    </w:p>
    <w:p w:rsidR="00796E75" w:rsidRDefault="00796E75" w:rsidP="00796E75">
      <w:pPr>
        <w:pStyle w:val="ListParagraph"/>
        <w:ind w:left="1440"/>
        <w:jc w:val="both"/>
        <w:rPr>
          <w:rFonts w:ascii="Arial" w:hAnsi="Arial" w:cs="Arial"/>
          <w:b/>
          <w:sz w:val="20"/>
          <w:szCs w:val="20"/>
        </w:rPr>
      </w:pPr>
    </w:p>
    <w:p w:rsidR="003446AB" w:rsidRDefault="003446AB" w:rsidP="003446AB">
      <w:pPr>
        <w:pStyle w:val="ListParagraph"/>
        <w:numPr>
          <w:ilvl w:val="0"/>
          <w:numId w:val="3"/>
        </w:numPr>
        <w:ind w:left="1440" w:hanging="72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The concept of trust </w:t>
      </w:r>
    </w:p>
    <w:p w:rsidR="00E10EB4" w:rsidRDefault="00E10EB4" w:rsidP="003446AB">
      <w:pPr>
        <w:pStyle w:val="ListParagraph"/>
        <w:ind w:left="1440"/>
        <w:jc w:val="both"/>
        <w:rPr>
          <w:rFonts w:ascii="Arial" w:hAnsi="Arial" w:cs="Arial"/>
          <w:sz w:val="20"/>
          <w:szCs w:val="20"/>
        </w:rPr>
      </w:pPr>
    </w:p>
    <w:p w:rsidR="001E15D6" w:rsidRDefault="00796E75" w:rsidP="003446AB">
      <w:pPr>
        <w:pStyle w:val="ListParagraph"/>
        <w:ind w:left="14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See below. </w:t>
      </w:r>
    </w:p>
    <w:p w:rsidR="00796E75" w:rsidRPr="00796E75" w:rsidRDefault="00796E75" w:rsidP="00A76CB8">
      <w:pPr>
        <w:pStyle w:val="ListParagraph"/>
        <w:spacing w:line="240" w:lineRule="auto"/>
        <w:ind w:left="1440"/>
        <w:jc w:val="both"/>
        <w:rPr>
          <w:rFonts w:ascii="Arial" w:hAnsi="Arial" w:cs="Arial"/>
          <w:sz w:val="20"/>
          <w:szCs w:val="20"/>
        </w:rPr>
      </w:pPr>
    </w:p>
    <w:p w:rsidR="00796E75" w:rsidRDefault="00796E75" w:rsidP="00A76CB8">
      <w:pPr>
        <w:pStyle w:val="ListParagraph"/>
        <w:numPr>
          <w:ilvl w:val="0"/>
          <w:numId w:val="2"/>
        </w:numPr>
        <w:spacing w:line="240" w:lineRule="auto"/>
        <w:ind w:hanging="720"/>
        <w:jc w:val="both"/>
        <w:rPr>
          <w:rFonts w:ascii="Arial" w:hAnsi="Arial" w:cs="Arial"/>
          <w:b/>
          <w:sz w:val="20"/>
          <w:szCs w:val="20"/>
        </w:rPr>
      </w:pPr>
      <w:r w:rsidRPr="00796E75">
        <w:rPr>
          <w:rFonts w:ascii="Arial" w:hAnsi="Arial" w:cs="Arial"/>
          <w:b/>
          <w:sz w:val="20"/>
          <w:szCs w:val="20"/>
        </w:rPr>
        <w:t>The concept of trust</w:t>
      </w:r>
    </w:p>
    <w:p w:rsidR="00D109F0" w:rsidRDefault="00D109F0" w:rsidP="00D109F0">
      <w:pPr>
        <w:pStyle w:val="ListParagraph"/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BF62F9" w:rsidRPr="00BF62F9" w:rsidRDefault="00D109F0" w:rsidP="00BF62F9">
      <w:pPr>
        <w:pStyle w:val="ListParagraph"/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Pearce, Stevens &amp; Barr, pp 71 – </w:t>
      </w:r>
      <w:proofErr w:type="gramStart"/>
      <w:r>
        <w:rPr>
          <w:rFonts w:ascii="Arial" w:hAnsi="Arial" w:cs="Arial"/>
          <w:sz w:val="20"/>
          <w:szCs w:val="20"/>
        </w:rPr>
        <w:t xml:space="preserve">82 </w:t>
      </w:r>
      <w:r w:rsidR="00BF62F9">
        <w:rPr>
          <w:rFonts w:ascii="Arial" w:hAnsi="Arial" w:cs="Arial"/>
          <w:sz w:val="20"/>
          <w:szCs w:val="20"/>
        </w:rPr>
        <w:t xml:space="preserve"> or</w:t>
      </w:r>
      <w:proofErr w:type="gramEnd"/>
      <w:r w:rsidR="00BF62F9">
        <w:rPr>
          <w:rFonts w:ascii="Arial" w:hAnsi="Arial" w:cs="Arial"/>
          <w:sz w:val="20"/>
          <w:szCs w:val="20"/>
        </w:rPr>
        <w:t xml:space="preserve"> </w:t>
      </w:r>
      <w:r w:rsidR="00BF62F9" w:rsidRPr="00BF62F9">
        <w:rPr>
          <w:rFonts w:ascii="Arial" w:hAnsi="Arial" w:cs="Arial"/>
          <w:sz w:val="20"/>
          <w:szCs w:val="20"/>
        </w:rPr>
        <w:t xml:space="preserve">Pettit, Ch 1 &amp; 2 </w:t>
      </w:r>
    </w:p>
    <w:p w:rsidR="00D109F0" w:rsidRPr="00D109F0" w:rsidRDefault="00D109F0" w:rsidP="00D109F0">
      <w:pPr>
        <w:pStyle w:val="ListParagraph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A76CB8" w:rsidRDefault="00A76CB8" w:rsidP="00A76CB8">
      <w:pPr>
        <w:pStyle w:val="ListParagraph"/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76CB8" w:rsidRPr="00A76CB8" w:rsidRDefault="00A76CB8" w:rsidP="00A76CB8">
      <w:pPr>
        <w:pStyle w:val="ListParagraph"/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Re A Solicitor </w:t>
      </w:r>
      <w:r>
        <w:rPr>
          <w:rFonts w:ascii="Arial" w:hAnsi="Arial" w:cs="Arial"/>
          <w:sz w:val="20"/>
          <w:szCs w:val="20"/>
        </w:rPr>
        <w:t xml:space="preserve">[1952] Ch 328 </w:t>
      </w:r>
      <w:r w:rsidRPr="00A76CB8">
        <w:rPr>
          <w:rFonts w:ascii="Arial" w:hAnsi="Arial" w:cs="Arial"/>
          <w:i/>
          <w:sz w:val="20"/>
          <w:szCs w:val="20"/>
        </w:rPr>
        <w:t xml:space="preserve">per </w:t>
      </w:r>
      <w:proofErr w:type="spellStart"/>
      <w:r>
        <w:rPr>
          <w:rFonts w:ascii="Arial" w:hAnsi="Arial" w:cs="Arial"/>
          <w:sz w:val="20"/>
          <w:szCs w:val="20"/>
        </w:rPr>
        <w:t>Roxburgh</w:t>
      </w:r>
      <w:proofErr w:type="spellEnd"/>
      <w:r>
        <w:rPr>
          <w:rFonts w:ascii="Arial" w:hAnsi="Arial" w:cs="Arial"/>
          <w:sz w:val="20"/>
          <w:szCs w:val="20"/>
        </w:rPr>
        <w:t xml:space="preserve"> J:</w:t>
      </w:r>
    </w:p>
    <w:p w:rsidR="00A76CB8" w:rsidRDefault="00A76CB8" w:rsidP="00A76CB8">
      <w:pPr>
        <w:pStyle w:val="ListParagraph"/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76CB8" w:rsidRPr="00A76CB8" w:rsidRDefault="00A76CB8" w:rsidP="00A76CB8">
      <w:pPr>
        <w:pStyle w:val="ListParagraph"/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A76CB8">
        <w:rPr>
          <w:rFonts w:ascii="Arial" w:hAnsi="Arial" w:cs="Arial"/>
          <w:i/>
          <w:sz w:val="20"/>
          <w:szCs w:val="20"/>
        </w:rPr>
        <w:t>“As the principles of equity permeate the complications of modern life, the nature and variety of trusts ever grow.”</w:t>
      </w:r>
    </w:p>
    <w:p w:rsidR="0070085F" w:rsidRPr="0070085F" w:rsidRDefault="0070085F" w:rsidP="00A76CB8">
      <w:pPr>
        <w:pStyle w:val="ListParagraph"/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Further reading: Gardner, </w:t>
      </w:r>
      <w:r>
        <w:rPr>
          <w:rFonts w:ascii="Arial" w:hAnsi="Arial" w:cs="Arial"/>
          <w:i/>
          <w:sz w:val="20"/>
          <w:szCs w:val="20"/>
        </w:rPr>
        <w:t>An Introduction to the Law of Trusts</w:t>
      </w:r>
      <w:r>
        <w:rPr>
          <w:rFonts w:ascii="Arial" w:hAnsi="Arial" w:cs="Arial"/>
          <w:sz w:val="20"/>
          <w:szCs w:val="20"/>
        </w:rPr>
        <w:t>, Ch 1</w:t>
      </w:r>
    </w:p>
    <w:p w:rsidR="00A76CB8" w:rsidRPr="00796E75" w:rsidRDefault="00A76CB8" w:rsidP="00A76CB8">
      <w:pPr>
        <w:pStyle w:val="ListParagraph"/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D57BFD" w:rsidRPr="00D57BFD" w:rsidRDefault="00A76CB8" w:rsidP="00BF62F9">
      <w:pPr>
        <w:pStyle w:val="ListParagraph"/>
        <w:numPr>
          <w:ilvl w:val="0"/>
          <w:numId w:val="4"/>
        </w:numPr>
        <w:spacing w:after="0" w:line="240" w:lineRule="auto"/>
        <w:ind w:left="1440" w:hanging="720"/>
        <w:jc w:val="both"/>
        <w:rPr>
          <w:rFonts w:ascii="Arial" w:hAnsi="Arial" w:cs="Arial"/>
          <w:sz w:val="20"/>
          <w:szCs w:val="20"/>
        </w:rPr>
      </w:pPr>
      <w:r w:rsidRPr="00D57BFD">
        <w:rPr>
          <w:rFonts w:ascii="Arial" w:hAnsi="Arial" w:cs="Arial"/>
          <w:b/>
          <w:sz w:val="20"/>
          <w:szCs w:val="20"/>
        </w:rPr>
        <w:t>Definition</w:t>
      </w:r>
      <w:r w:rsidR="00936F8C">
        <w:rPr>
          <w:rFonts w:ascii="Arial" w:hAnsi="Arial" w:cs="Arial"/>
          <w:b/>
          <w:sz w:val="20"/>
          <w:szCs w:val="20"/>
        </w:rPr>
        <w:t>?</w:t>
      </w:r>
    </w:p>
    <w:p w:rsidR="00D57BFD" w:rsidRDefault="00D57BFD" w:rsidP="00BF62F9">
      <w:pPr>
        <w:pStyle w:val="ListParagraph"/>
        <w:spacing w:after="0" w:line="240" w:lineRule="auto"/>
        <w:ind w:left="1440"/>
        <w:jc w:val="both"/>
        <w:rPr>
          <w:rFonts w:ascii="Arial" w:hAnsi="Arial" w:cs="Arial"/>
          <w:b/>
          <w:sz w:val="20"/>
          <w:szCs w:val="20"/>
        </w:rPr>
      </w:pPr>
    </w:p>
    <w:p w:rsidR="00A76CB8" w:rsidRPr="00D57BFD" w:rsidRDefault="00A76CB8" w:rsidP="00BF62F9">
      <w:pPr>
        <w:pStyle w:val="ListParagraph"/>
        <w:spacing w:after="0" w:line="240" w:lineRule="auto"/>
        <w:ind w:left="1440"/>
        <w:jc w:val="both"/>
        <w:rPr>
          <w:rFonts w:ascii="Arial" w:hAnsi="Arial" w:cs="Arial"/>
          <w:sz w:val="20"/>
          <w:szCs w:val="20"/>
        </w:rPr>
      </w:pPr>
      <w:proofErr w:type="spellStart"/>
      <w:r w:rsidRPr="00D57BFD">
        <w:rPr>
          <w:rFonts w:ascii="Arial" w:hAnsi="Arial" w:cs="Arial"/>
          <w:i/>
          <w:sz w:val="20"/>
          <w:szCs w:val="20"/>
        </w:rPr>
        <w:t>Raynor</w:t>
      </w:r>
      <w:proofErr w:type="spellEnd"/>
      <w:r w:rsidRPr="00D57BFD">
        <w:rPr>
          <w:rFonts w:ascii="Arial" w:hAnsi="Arial" w:cs="Arial"/>
          <w:i/>
          <w:sz w:val="20"/>
          <w:szCs w:val="20"/>
        </w:rPr>
        <w:t xml:space="preserve"> v Preston </w:t>
      </w:r>
      <w:r w:rsidRPr="00D57BFD">
        <w:rPr>
          <w:rFonts w:ascii="Arial" w:hAnsi="Arial" w:cs="Arial"/>
          <w:sz w:val="20"/>
          <w:szCs w:val="20"/>
        </w:rPr>
        <w:t>(1881) 18 Ch D 1</w:t>
      </w:r>
    </w:p>
    <w:p w:rsidR="00A76CB8" w:rsidRDefault="00A76CB8" w:rsidP="00BF62F9">
      <w:pPr>
        <w:spacing w:after="0" w:line="240" w:lineRule="auto"/>
        <w:ind w:left="144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i/>
          <w:sz w:val="20"/>
          <w:szCs w:val="20"/>
        </w:rPr>
        <w:t>Westdeutsche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i/>
          <w:sz w:val="20"/>
          <w:szCs w:val="20"/>
        </w:rPr>
        <w:t>Landesbank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v Islington </w:t>
      </w:r>
      <w:r>
        <w:rPr>
          <w:rFonts w:ascii="Arial" w:hAnsi="Arial" w:cs="Arial"/>
          <w:sz w:val="20"/>
          <w:szCs w:val="20"/>
        </w:rPr>
        <w:t xml:space="preserve">[1996] AC 669 </w:t>
      </w:r>
    </w:p>
    <w:p w:rsidR="00BF62F9" w:rsidRPr="00A76CB8" w:rsidRDefault="00BF62F9" w:rsidP="00BF62F9">
      <w:pPr>
        <w:spacing w:after="0" w:line="240" w:lineRule="auto"/>
        <w:ind w:left="1440"/>
        <w:jc w:val="both"/>
        <w:rPr>
          <w:rFonts w:ascii="Arial" w:hAnsi="Arial" w:cs="Arial"/>
          <w:sz w:val="20"/>
          <w:szCs w:val="20"/>
        </w:rPr>
      </w:pPr>
    </w:p>
    <w:p w:rsidR="00D57BFD" w:rsidRPr="00D57BFD" w:rsidRDefault="00D57BFD" w:rsidP="00D57BFD">
      <w:pPr>
        <w:pStyle w:val="ListParagraph"/>
        <w:numPr>
          <w:ilvl w:val="0"/>
          <w:numId w:val="4"/>
        </w:numPr>
        <w:ind w:left="1440" w:hanging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Fundamentals of the concept </w:t>
      </w:r>
    </w:p>
    <w:p w:rsidR="00D57BFD" w:rsidRPr="00D57BFD" w:rsidRDefault="00D57BFD" w:rsidP="00D57BFD">
      <w:pPr>
        <w:pStyle w:val="ListParagraph"/>
        <w:ind w:left="1440"/>
        <w:jc w:val="both"/>
        <w:rPr>
          <w:rFonts w:ascii="Arial" w:hAnsi="Arial" w:cs="Arial"/>
          <w:sz w:val="20"/>
          <w:szCs w:val="20"/>
        </w:rPr>
      </w:pPr>
    </w:p>
    <w:p w:rsidR="00D57BFD" w:rsidRDefault="00D57BFD" w:rsidP="00D57BFD">
      <w:pPr>
        <w:pStyle w:val="ListParagraph"/>
        <w:numPr>
          <w:ilvl w:val="0"/>
          <w:numId w:val="7"/>
        </w:numPr>
        <w:ind w:left="21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Form of property ownership </w:t>
      </w:r>
    </w:p>
    <w:p w:rsidR="00D57BFD" w:rsidRDefault="00D57BFD" w:rsidP="00D57BFD">
      <w:pPr>
        <w:pStyle w:val="ListParagraph"/>
        <w:numPr>
          <w:ilvl w:val="0"/>
          <w:numId w:val="7"/>
        </w:numPr>
        <w:ind w:left="21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Separation of legal and equitable title </w:t>
      </w:r>
    </w:p>
    <w:p w:rsidR="00D57BFD" w:rsidRDefault="001F7AB9" w:rsidP="00D57BFD">
      <w:pPr>
        <w:pStyle w:val="ListParagraph"/>
        <w:numPr>
          <w:ilvl w:val="0"/>
          <w:numId w:val="7"/>
        </w:numPr>
        <w:ind w:left="216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Settlors</w:t>
      </w:r>
      <w:proofErr w:type="spellEnd"/>
      <w:r>
        <w:rPr>
          <w:rFonts w:ascii="Arial" w:hAnsi="Arial" w:cs="Arial"/>
          <w:sz w:val="20"/>
          <w:szCs w:val="20"/>
        </w:rPr>
        <w:t xml:space="preserve">, trustees and </w:t>
      </w:r>
      <w:r w:rsidR="00D57BFD">
        <w:rPr>
          <w:rFonts w:ascii="Arial" w:hAnsi="Arial" w:cs="Arial"/>
          <w:sz w:val="20"/>
          <w:szCs w:val="20"/>
        </w:rPr>
        <w:t xml:space="preserve">beneficiaries </w:t>
      </w:r>
    </w:p>
    <w:p w:rsidR="00D57BFD" w:rsidRDefault="00D57BFD" w:rsidP="00D57BFD">
      <w:pPr>
        <w:pStyle w:val="ListParagraph"/>
        <w:numPr>
          <w:ilvl w:val="0"/>
          <w:numId w:val="7"/>
        </w:numPr>
        <w:ind w:left="21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Nature of beneficial ownership </w:t>
      </w:r>
    </w:p>
    <w:p w:rsidR="00D57BFD" w:rsidRPr="00D57BFD" w:rsidRDefault="00D57BFD" w:rsidP="00D57BFD">
      <w:pPr>
        <w:pStyle w:val="ListParagraph"/>
        <w:ind w:left="21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Saunders v </w:t>
      </w:r>
      <w:proofErr w:type="spellStart"/>
      <w:r>
        <w:rPr>
          <w:rFonts w:ascii="Arial" w:hAnsi="Arial" w:cs="Arial"/>
          <w:i/>
          <w:sz w:val="20"/>
          <w:szCs w:val="20"/>
        </w:rPr>
        <w:t>Vautier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(1841) 4 </w:t>
      </w:r>
      <w:proofErr w:type="spellStart"/>
      <w:r>
        <w:rPr>
          <w:rFonts w:ascii="Arial" w:hAnsi="Arial" w:cs="Arial"/>
          <w:sz w:val="20"/>
          <w:szCs w:val="20"/>
        </w:rPr>
        <w:t>Beav</w:t>
      </w:r>
      <w:proofErr w:type="spellEnd"/>
      <w:r>
        <w:rPr>
          <w:rFonts w:ascii="Arial" w:hAnsi="Arial" w:cs="Arial"/>
          <w:sz w:val="20"/>
          <w:szCs w:val="20"/>
        </w:rPr>
        <w:t xml:space="preserve"> 115</w:t>
      </w:r>
    </w:p>
    <w:p w:rsidR="00D57BFD" w:rsidRPr="00D57BFD" w:rsidRDefault="00D57BFD" w:rsidP="00D57BFD">
      <w:pPr>
        <w:pStyle w:val="ListParagraph"/>
        <w:ind w:left="1440"/>
        <w:jc w:val="both"/>
        <w:rPr>
          <w:rFonts w:ascii="Arial" w:hAnsi="Arial" w:cs="Arial"/>
          <w:sz w:val="20"/>
          <w:szCs w:val="20"/>
        </w:rPr>
      </w:pPr>
    </w:p>
    <w:p w:rsidR="00A76CB8" w:rsidRPr="00D57BFD" w:rsidRDefault="00D57BFD" w:rsidP="00D57BFD">
      <w:pPr>
        <w:pStyle w:val="ListParagraph"/>
        <w:numPr>
          <w:ilvl w:val="0"/>
          <w:numId w:val="4"/>
        </w:numPr>
        <w:ind w:left="1440" w:hanging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Distinguishing trust from other legal relationships </w:t>
      </w:r>
    </w:p>
    <w:p w:rsidR="00D57BFD" w:rsidRDefault="00472599" w:rsidP="00472599">
      <w:pPr>
        <w:pStyle w:val="ListParagraph"/>
        <w:ind w:left="1080" w:firstLine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Pettit, pp 30 – 32</w:t>
      </w:r>
    </w:p>
    <w:p w:rsidR="00472599" w:rsidRPr="00A76CB8" w:rsidRDefault="00472599" w:rsidP="00472599">
      <w:pPr>
        <w:pStyle w:val="ListParagraph"/>
        <w:ind w:left="1080" w:firstLine="360"/>
        <w:jc w:val="both"/>
        <w:rPr>
          <w:rFonts w:ascii="Arial" w:hAnsi="Arial" w:cs="Arial"/>
          <w:sz w:val="20"/>
          <w:szCs w:val="20"/>
        </w:rPr>
      </w:pPr>
    </w:p>
    <w:p w:rsidR="00D57BFD" w:rsidRDefault="00D57BFD" w:rsidP="00D57BFD">
      <w:pPr>
        <w:pStyle w:val="ListParagraph"/>
        <w:numPr>
          <w:ilvl w:val="0"/>
          <w:numId w:val="5"/>
        </w:numPr>
        <w:ind w:left="21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Contract </w:t>
      </w:r>
    </w:p>
    <w:p w:rsidR="00D57BFD" w:rsidRDefault="00D57BFD" w:rsidP="00D57BFD">
      <w:pPr>
        <w:pStyle w:val="ListParagraph"/>
        <w:ind w:left="21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Henry v Hammond </w:t>
      </w:r>
      <w:r>
        <w:rPr>
          <w:rFonts w:ascii="Arial" w:hAnsi="Arial" w:cs="Arial"/>
          <w:sz w:val="20"/>
          <w:szCs w:val="20"/>
        </w:rPr>
        <w:t xml:space="preserve">[1912] 2 KB 515, 521 </w:t>
      </w:r>
    </w:p>
    <w:p w:rsidR="00D57BFD" w:rsidRPr="00D57BFD" w:rsidRDefault="00D57BFD" w:rsidP="00D57BFD">
      <w:pPr>
        <w:pStyle w:val="ListParagraph"/>
        <w:ind w:left="21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Contracts (Rights of Third Parties) Act 1999 (Cap. 53B) </w:t>
      </w:r>
    </w:p>
    <w:p w:rsidR="00D57BFD" w:rsidRDefault="00EF7D69" w:rsidP="00D57BFD">
      <w:pPr>
        <w:pStyle w:val="ListParagraph"/>
        <w:ind w:left="21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Optional: </w:t>
      </w:r>
      <w:r w:rsidR="00D57BFD" w:rsidRPr="00D57BFD">
        <w:rPr>
          <w:rFonts w:ascii="Arial" w:hAnsi="Arial" w:cs="Arial"/>
          <w:sz w:val="20"/>
          <w:szCs w:val="20"/>
        </w:rPr>
        <w:t xml:space="preserve">C.H. </w:t>
      </w:r>
      <w:proofErr w:type="spellStart"/>
      <w:r w:rsidR="00D57BFD" w:rsidRPr="00D57BFD">
        <w:rPr>
          <w:rFonts w:ascii="Arial" w:hAnsi="Arial" w:cs="Arial"/>
          <w:sz w:val="20"/>
          <w:szCs w:val="20"/>
        </w:rPr>
        <w:t>Tham</w:t>
      </w:r>
      <w:proofErr w:type="spellEnd"/>
      <w:r w:rsidR="00D57BFD" w:rsidRPr="00D57BFD">
        <w:rPr>
          <w:rFonts w:ascii="Arial" w:hAnsi="Arial" w:cs="Arial"/>
          <w:sz w:val="20"/>
          <w:szCs w:val="20"/>
        </w:rPr>
        <w:t xml:space="preserve"> (2005), "Trust, not Contract: Restoring Trust in the Contracts (Rights of Third Parties</w:t>
      </w:r>
      <w:r>
        <w:rPr>
          <w:rFonts w:ascii="Arial" w:hAnsi="Arial" w:cs="Arial"/>
          <w:sz w:val="20"/>
          <w:szCs w:val="20"/>
        </w:rPr>
        <w:t>) Act", Journal of Contract Law</w:t>
      </w:r>
      <w:r w:rsidR="00D57BFD" w:rsidRPr="00D57BFD">
        <w:rPr>
          <w:rFonts w:ascii="Arial" w:hAnsi="Arial" w:cs="Arial"/>
          <w:sz w:val="20"/>
          <w:szCs w:val="20"/>
        </w:rPr>
        <w:t>, vol. 21, 107–130</w:t>
      </w:r>
    </w:p>
    <w:p w:rsidR="00D57BFD" w:rsidRPr="00D57BFD" w:rsidRDefault="00D57BFD" w:rsidP="00D57BFD">
      <w:pPr>
        <w:pStyle w:val="ListParagraph"/>
        <w:ind w:left="2160"/>
        <w:jc w:val="both"/>
        <w:rPr>
          <w:rFonts w:ascii="Arial" w:hAnsi="Arial" w:cs="Arial"/>
          <w:sz w:val="20"/>
          <w:szCs w:val="20"/>
        </w:rPr>
      </w:pPr>
    </w:p>
    <w:p w:rsidR="00D57BFD" w:rsidRDefault="00D57BFD" w:rsidP="00D57BFD">
      <w:pPr>
        <w:pStyle w:val="ListParagraph"/>
        <w:numPr>
          <w:ilvl w:val="0"/>
          <w:numId w:val="5"/>
        </w:numPr>
        <w:ind w:left="21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Debt</w:t>
      </w:r>
    </w:p>
    <w:p w:rsidR="00D57BFD" w:rsidRDefault="00D57BFD" w:rsidP="00D57BFD">
      <w:pPr>
        <w:pStyle w:val="ListParagraph"/>
        <w:ind w:left="21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Barclays Bank v </w:t>
      </w:r>
      <w:proofErr w:type="spellStart"/>
      <w:r>
        <w:rPr>
          <w:rFonts w:ascii="Arial" w:hAnsi="Arial" w:cs="Arial"/>
          <w:i/>
          <w:sz w:val="20"/>
          <w:szCs w:val="20"/>
        </w:rPr>
        <w:t>Quistclose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Investments </w:t>
      </w:r>
      <w:r>
        <w:rPr>
          <w:rFonts w:ascii="Arial" w:hAnsi="Arial" w:cs="Arial"/>
          <w:sz w:val="20"/>
          <w:szCs w:val="20"/>
        </w:rPr>
        <w:t>[1970] AC 567</w:t>
      </w:r>
    </w:p>
    <w:p w:rsidR="00D57BFD" w:rsidRDefault="00D57BFD" w:rsidP="00D57BFD">
      <w:pPr>
        <w:pStyle w:val="ListParagraph"/>
        <w:ind w:left="216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i/>
          <w:sz w:val="20"/>
          <w:szCs w:val="20"/>
        </w:rPr>
        <w:t>Twinsectra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v Yardley </w:t>
      </w:r>
      <w:r>
        <w:rPr>
          <w:rFonts w:ascii="Arial" w:hAnsi="Arial" w:cs="Arial"/>
          <w:sz w:val="20"/>
          <w:szCs w:val="20"/>
        </w:rPr>
        <w:t xml:space="preserve">[2002] UKHL 12; [2002] 2 AC 164  </w:t>
      </w:r>
    </w:p>
    <w:p w:rsidR="00D57BFD" w:rsidRDefault="00D57BFD" w:rsidP="00D57BFD">
      <w:pPr>
        <w:pStyle w:val="ListParagraph"/>
        <w:ind w:left="2160"/>
        <w:jc w:val="both"/>
        <w:rPr>
          <w:rFonts w:ascii="Arial" w:hAnsi="Arial" w:cs="Arial"/>
          <w:sz w:val="20"/>
          <w:szCs w:val="20"/>
        </w:rPr>
      </w:pPr>
    </w:p>
    <w:p w:rsidR="00D57BFD" w:rsidRDefault="00D57BFD" w:rsidP="00D57BFD">
      <w:pPr>
        <w:pStyle w:val="ListParagraph"/>
        <w:numPr>
          <w:ilvl w:val="0"/>
          <w:numId w:val="5"/>
        </w:numPr>
        <w:ind w:left="21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Trust and agency </w:t>
      </w:r>
    </w:p>
    <w:p w:rsidR="00D57BFD" w:rsidRDefault="00D57BFD" w:rsidP="00D57BFD">
      <w:pPr>
        <w:pStyle w:val="ListParagraph"/>
        <w:ind w:left="2160"/>
        <w:jc w:val="both"/>
        <w:rPr>
          <w:rFonts w:ascii="Arial" w:hAnsi="Arial" w:cs="Arial"/>
          <w:sz w:val="20"/>
          <w:szCs w:val="20"/>
        </w:rPr>
      </w:pPr>
    </w:p>
    <w:p w:rsidR="00C70A16" w:rsidRDefault="00D57BFD" w:rsidP="00C45647">
      <w:pPr>
        <w:pStyle w:val="ListParagraph"/>
        <w:numPr>
          <w:ilvl w:val="0"/>
          <w:numId w:val="5"/>
        </w:numPr>
        <w:ind w:left="21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Trust and bailment </w:t>
      </w:r>
    </w:p>
    <w:p w:rsidR="00C45647" w:rsidRPr="00C45647" w:rsidRDefault="00C45647" w:rsidP="00C45647">
      <w:pPr>
        <w:pStyle w:val="ListParagraph"/>
        <w:rPr>
          <w:rFonts w:ascii="Arial" w:hAnsi="Arial" w:cs="Arial"/>
          <w:sz w:val="20"/>
          <w:szCs w:val="20"/>
        </w:rPr>
      </w:pPr>
    </w:p>
    <w:p w:rsidR="00C45647" w:rsidRPr="00C45647" w:rsidRDefault="00C45647" w:rsidP="00C45647">
      <w:pPr>
        <w:pStyle w:val="ListParagraph"/>
        <w:ind w:left="2160"/>
        <w:jc w:val="both"/>
        <w:rPr>
          <w:rFonts w:ascii="Arial" w:hAnsi="Arial" w:cs="Arial"/>
          <w:sz w:val="20"/>
          <w:szCs w:val="20"/>
        </w:rPr>
      </w:pPr>
    </w:p>
    <w:p w:rsidR="0070085F" w:rsidRPr="00C13AEA" w:rsidRDefault="0070085F" w:rsidP="00C13AEA">
      <w:pPr>
        <w:pStyle w:val="ListParagraph"/>
        <w:numPr>
          <w:ilvl w:val="0"/>
          <w:numId w:val="4"/>
        </w:numPr>
        <w:ind w:left="1440" w:hanging="72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Classification of trusts</w:t>
      </w:r>
    </w:p>
    <w:p w:rsidR="00C70A16" w:rsidRPr="00C70A16" w:rsidRDefault="00C70A16" w:rsidP="00C70A16">
      <w:pPr>
        <w:pStyle w:val="ListParagraph"/>
        <w:ind w:left="14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Pettit, pp 66 - 76</w:t>
      </w:r>
    </w:p>
    <w:sectPr w:rsidR="00C70A16" w:rsidRPr="00C70A16" w:rsidSect="00616BD4">
      <w:head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64F" w:rsidRDefault="0087064F" w:rsidP="00616BD4">
      <w:pPr>
        <w:spacing w:after="0" w:line="240" w:lineRule="auto"/>
      </w:pPr>
      <w:r>
        <w:separator/>
      </w:r>
    </w:p>
  </w:endnote>
  <w:endnote w:type="continuationSeparator" w:id="0">
    <w:p w:rsidR="0087064F" w:rsidRDefault="0087064F" w:rsidP="00616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64F" w:rsidRDefault="0087064F" w:rsidP="00616BD4">
      <w:pPr>
        <w:spacing w:after="0" w:line="240" w:lineRule="auto"/>
      </w:pPr>
      <w:r>
        <w:separator/>
      </w:r>
    </w:p>
  </w:footnote>
  <w:footnote w:type="continuationSeparator" w:id="0">
    <w:p w:rsidR="0087064F" w:rsidRDefault="0087064F" w:rsidP="00616B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09401"/>
      <w:docPartObj>
        <w:docPartGallery w:val="Page Numbers (Top of Page)"/>
        <w:docPartUnique/>
      </w:docPartObj>
    </w:sdtPr>
    <w:sdtContent>
      <w:p w:rsidR="00616BD4" w:rsidRDefault="00616BD4">
        <w:pPr>
          <w:pStyle w:val="Header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616BD4" w:rsidRDefault="00616BD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655EF"/>
    <w:multiLevelType w:val="hybridMultilevel"/>
    <w:tmpl w:val="CBB0973E"/>
    <w:lvl w:ilvl="0" w:tplc="CFBA9280">
      <w:start w:val="1"/>
      <w:numFmt w:val="decimal"/>
      <w:lvlText w:val="(%1)"/>
      <w:lvlJc w:val="left"/>
      <w:pPr>
        <w:ind w:left="1080" w:hanging="360"/>
      </w:pPr>
      <w:rPr>
        <w:rFonts w:hint="default"/>
        <w:b/>
        <w:sz w:val="1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3A1B21"/>
    <w:multiLevelType w:val="hybridMultilevel"/>
    <w:tmpl w:val="B268DEE4"/>
    <w:lvl w:ilvl="0" w:tplc="7D3CD32A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DC7AC8"/>
    <w:multiLevelType w:val="hybridMultilevel"/>
    <w:tmpl w:val="41D63D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5D3D34"/>
    <w:multiLevelType w:val="hybridMultilevel"/>
    <w:tmpl w:val="800CE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0D15D9"/>
    <w:multiLevelType w:val="hybridMultilevel"/>
    <w:tmpl w:val="02CCB808"/>
    <w:lvl w:ilvl="0" w:tplc="02FE279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413711"/>
    <w:multiLevelType w:val="hybridMultilevel"/>
    <w:tmpl w:val="C76AAF00"/>
    <w:lvl w:ilvl="0" w:tplc="E2A80B5A">
      <w:start w:val="1"/>
      <w:numFmt w:val="lowerRoman"/>
      <w:lvlText w:val="%1."/>
      <w:lvlJc w:val="left"/>
      <w:pPr>
        <w:ind w:left="216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732A5D87"/>
    <w:multiLevelType w:val="hybridMultilevel"/>
    <w:tmpl w:val="80EC676E"/>
    <w:lvl w:ilvl="0" w:tplc="1B32AF6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D290B"/>
    <w:rsid w:val="000173F6"/>
    <w:rsid w:val="001042B7"/>
    <w:rsid w:val="00144650"/>
    <w:rsid w:val="001B6E36"/>
    <w:rsid w:val="001E15D6"/>
    <w:rsid w:val="001F7AB9"/>
    <w:rsid w:val="003446AB"/>
    <w:rsid w:val="003517E5"/>
    <w:rsid w:val="00472599"/>
    <w:rsid w:val="00485B65"/>
    <w:rsid w:val="00616BD4"/>
    <w:rsid w:val="0070085F"/>
    <w:rsid w:val="00783272"/>
    <w:rsid w:val="00796E75"/>
    <w:rsid w:val="007D0647"/>
    <w:rsid w:val="007E12CA"/>
    <w:rsid w:val="0087064F"/>
    <w:rsid w:val="008817E9"/>
    <w:rsid w:val="008C0376"/>
    <w:rsid w:val="00936F8C"/>
    <w:rsid w:val="00975D8B"/>
    <w:rsid w:val="00A76CB8"/>
    <w:rsid w:val="00AA6FAD"/>
    <w:rsid w:val="00BF62F9"/>
    <w:rsid w:val="00C13AEA"/>
    <w:rsid w:val="00C45647"/>
    <w:rsid w:val="00C70A16"/>
    <w:rsid w:val="00D109F0"/>
    <w:rsid w:val="00D57BFD"/>
    <w:rsid w:val="00D750E9"/>
    <w:rsid w:val="00E10EB4"/>
    <w:rsid w:val="00E92C61"/>
    <w:rsid w:val="00EA5D37"/>
    <w:rsid w:val="00ED290B"/>
    <w:rsid w:val="00EF7D69"/>
    <w:rsid w:val="00F66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7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6E36"/>
    <w:pPr>
      <w:ind w:left="720"/>
      <w:contextualSpacing/>
    </w:pPr>
  </w:style>
  <w:style w:type="character" w:styleId="HTMLCite">
    <w:name w:val="HTML Cite"/>
    <w:basedOn w:val="DefaultParagraphFont"/>
    <w:uiPriority w:val="99"/>
    <w:semiHidden/>
    <w:unhideWhenUsed/>
    <w:rsid w:val="001E15D6"/>
    <w:rPr>
      <w:i w:val="0"/>
      <w:iCs w:val="0"/>
      <w:color w:val="0E774A"/>
    </w:rPr>
  </w:style>
  <w:style w:type="character" w:styleId="Hyperlink">
    <w:name w:val="Hyperlink"/>
    <w:basedOn w:val="DefaultParagraphFont"/>
    <w:uiPriority w:val="99"/>
    <w:unhideWhenUsed/>
    <w:rsid w:val="001E15D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6B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BD4"/>
  </w:style>
  <w:style w:type="paragraph" w:styleId="Footer">
    <w:name w:val="footer"/>
    <w:basedOn w:val="Normal"/>
    <w:link w:val="FooterChar"/>
    <w:uiPriority w:val="99"/>
    <w:semiHidden/>
    <w:unhideWhenUsed/>
    <w:rsid w:val="00616B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16B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wlink.nsw.gov.au/lawlink/Supreme_Court/ll_sc.nsf/vwPrint1/SCO_mason16120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law.qut.edu.au/ljj/.../10_CurrentIssues_Equity_KIRBY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1B584-91EC-4631-885E-D71B50F26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SMU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manyip</dc:creator>
  <cp:lastModifiedBy>lwaspsir</cp:lastModifiedBy>
  <cp:revision>4</cp:revision>
  <dcterms:created xsi:type="dcterms:W3CDTF">2010-08-06T02:03:00Z</dcterms:created>
  <dcterms:modified xsi:type="dcterms:W3CDTF">2010-12-20T08:03:00Z</dcterms:modified>
</cp:coreProperties>
</file>